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E175" w14:textId="455C8B02" w:rsidR="00A55479" w:rsidRPr="00F83FAD" w:rsidRDefault="00A55479" w:rsidP="00A55479">
      <w:pPr>
        <w:pStyle w:val="Title"/>
        <w:rPr>
          <w:b/>
          <w:bCs/>
          <w:sz w:val="40"/>
          <w:szCs w:val="40"/>
        </w:rPr>
      </w:pPr>
      <w:r w:rsidRPr="00F83FAD">
        <w:rPr>
          <w:b/>
          <w:bCs/>
          <w:sz w:val="40"/>
          <w:szCs w:val="40"/>
        </w:rPr>
        <w:t xml:space="preserve">Problem Set </w:t>
      </w:r>
      <w:r w:rsidR="005949F4" w:rsidRPr="00F83FAD">
        <w:rPr>
          <w:b/>
          <w:bCs/>
          <w:sz w:val="40"/>
          <w:szCs w:val="40"/>
        </w:rPr>
        <w:t>6</w:t>
      </w:r>
      <w:r w:rsidRPr="00F83FAD">
        <w:rPr>
          <w:b/>
          <w:bCs/>
          <w:sz w:val="40"/>
          <w:szCs w:val="40"/>
        </w:rPr>
        <w:t xml:space="preserve"> – </w:t>
      </w:r>
      <w:r w:rsidR="000C53B5">
        <w:rPr>
          <w:b/>
          <w:bCs/>
          <w:sz w:val="40"/>
          <w:szCs w:val="40"/>
        </w:rPr>
        <w:t>Questions in text.</w:t>
      </w:r>
      <w:r w:rsidRPr="00F83FAD">
        <w:rPr>
          <w:b/>
          <w:bCs/>
          <w:sz w:val="40"/>
          <w:szCs w:val="40"/>
        </w:rPr>
        <w:t xml:space="preserve"> </w:t>
      </w:r>
    </w:p>
    <w:p w14:paraId="6EE6A951" w14:textId="301B3037" w:rsidR="004D2787" w:rsidRDefault="003F51BD" w:rsidP="004D2787">
      <w:pPr>
        <w:pStyle w:val="noindent"/>
        <w:spacing w:before="0" w:beforeAutospacing="0" w:after="0" w:afterAutospacing="0" w:line="240" w:lineRule="auto"/>
        <w:ind w:left="252" w:hanging="252"/>
        <w:rPr>
          <w:b/>
        </w:rPr>
      </w:pPr>
      <w:r w:rsidRPr="00860C46">
        <w:rPr>
          <w:rFonts w:ascii="Arial" w:hAnsi="Arial"/>
          <w:b/>
          <w:bCs/>
          <w:color w:val="222222"/>
          <w:shd w:val="clear" w:color="auto" w:fill="FFFFFF"/>
        </w:rPr>
        <w:t>Chapter 16: Problems 1 and 6</w:t>
      </w:r>
      <w:r>
        <w:rPr>
          <w:b/>
        </w:rPr>
        <w:t xml:space="preserve"> </w:t>
      </w:r>
    </w:p>
    <w:p w14:paraId="5062BDDB" w14:textId="77777777" w:rsidR="004D2787" w:rsidRDefault="004D2787" w:rsidP="004D2787">
      <w:pPr>
        <w:pStyle w:val="noindent"/>
        <w:spacing w:before="0" w:beforeAutospacing="0" w:after="0" w:afterAutospacing="0" w:line="240" w:lineRule="auto"/>
        <w:ind w:left="252" w:hanging="252"/>
        <w:rPr>
          <w:b/>
        </w:rPr>
      </w:pPr>
    </w:p>
    <w:p w14:paraId="3CD64B67" w14:textId="2B156594" w:rsidR="004D2787" w:rsidRDefault="004D2787" w:rsidP="004D2787">
      <w:pPr>
        <w:pStyle w:val="noindent"/>
        <w:spacing w:before="0" w:beforeAutospacing="0" w:after="0" w:afterAutospacing="0" w:line="240" w:lineRule="auto"/>
        <w:ind w:left="252" w:hanging="252"/>
      </w:pPr>
      <w:r w:rsidRPr="009D283D">
        <w:rPr>
          <w:b/>
        </w:rPr>
        <w:t>1.</w:t>
      </w:r>
      <w:r w:rsidRPr="009D283D">
        <w:t xml:space="preserve"> In the economy of </w:t>
      </w:r>
      <w:proofErr w:type="spellStart"/>
      <w:r w:rsidRPr="009D283D">
        <w:t>Scottopia</w:t>
      </w:r>
      <w:proofErr w:type="spellEnd"/>
      <w:r w:rsidRPr="009D283D">
        <w:t>, policy makers want to lower the unemployment rate and raise real GDP by using monetary policy. Using the accompanying diagram, show why this policy will ultimately result in a higher aggregate price level but no change in real GDP.</w:t>
      </w:r>
    </w:p>
    <w:p w14:paraId="78D37C0A" w14:textId="77777777" w:rsidR="004D2787" w:rsidRDefault="004D2787" w:rsidP="004D2787">
      <w:pPr>
        <w:pStyle w:val="noindent"/>
        <w:spacing w:before="0" w:beforeAutospacing="0" w:after="0" w:afterAutospacing="0" w:line="240" w:lineRule="auto"/>
        <w:ind w:left="252" w:hanging="252"/>
      </w:pPr>
    </w:p>
    <w:p w14:paraId="041780FE" w14:textId="77777777" w:rsidR="004D2787" w:rsidRPr="009D283D" w:rsidRDefault="004D2787" w:rsidP="004D2787">
      <w:pPr>
        <w:pStyle w:val="noindent"/>
        <w:spacing w:before="0" w:beforeAutospacing="0" w:after="0" w:afterAutospacing="0" w:line="240" w:lineRule="auto"/>
        <w:ind w:left="252"/>
        <w:jc w:val="center"/>
      </w:pPr>
      <w:r>
        <w:rPr>
          <w:noProof/>
        </w:rPr>
        <w:drawing>
          <wp:inline distT="0" distB="0" distL="0" distR="0" wp14:anchorId="45AB7FCA" wp14:editId="5F523854">
            <wp:extent cx="3133725" cy="2343150"/>
            <wp:effectExtent l="0" t="0" r="9525" b="0"/>
            <wp:docPr id="1" name="Picture 1" descr="A graph plots aggregate price level on the vertical axis versus real G D P on the horizontal axis. The vertical axis, labeled “aggregate price level”, shows a marking at P subscript 1. The horizontal axis, labeled “real G D P”, shows a marking at Y subscript 1. A vertical line labeled L R A S moves upward from Y subscript 1. A positive sloping line labeled “S R A S subscript 1” intersects L R A S line and a negative sloping line labeled “A D subscript 1” at E subscript 1 (Y subscript 1, P subscrip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3725" cy="2343150"/>
                    </a:xfrm>
                    <a:prstGeom prst="rect">
                      <a:avLst/>
                    </a:prstGeom>
                  </pic:spPr>
                </pic:pic>
              </a:graphicData>
            </a:graphic>
          </wp:inline>
        </w:drawing>
      </w:r>
    </w:p>
    <w:p w14:paraId="48671C6F" w14:textId="77777777" w:rsidR="00962185" w:rsidRDefault="00962185" w:rsidP="004D2787">
      <w:pPr>
        <w:pStyle w:val="noindent"/>
        <w:spacing w:before="0" w:beforeAutospacing="0" w:after="0" w:afterAutospacing="0" w:line="240" w:lineRule="auto"/>
        <w:ind w:left="252" w:hanging="252"/>
        <w:jc w:val="center"/>
      </w:pPr>
    </w:p>
    <w:p w14:paraId="32FD177B" w14:textId="77777777" w:rsidR="00962185" w:rsidRPr="009D283D" w:rsidRDefault="00962185" w:rsidP="004D2787">
      <w:pPr>
        <w:pStyle w:val="noindent"/>
        <w:spacing w:before="0" w:beforeAutospacing="0" w:after="0" w:afterAutospacing="0" w:line="240" w:lineRule="auto"/>
        <w:ind w:left="252" w:hanging="252"/>
        <w:jc w:val="center"/>
      </w:pPr>
    </w:p>
    <w:p w14:paraId="30E00BA1" w14:textId="3DADC3BE" w:rsidR="004D2787" w:rsidRDefault="004D2787" w:rsidP="004D2787">
      <w:pPr>
        <w:pStyle w:val="noindent"/>
        <w:spacing w:before="0" w:beforeAutospacing="0" w:after="0" w:afterAutospacing="0" w:line="240" w:lineRule="auto"/>
        <w:ind w:left="252" w:hanging="252"/>
      </w:pPr>
      <w:r w:rsidRPr="009D283D">
        <w:rPr>
          <w:b/>
        </w:rPr>
        <w:t>6.</w:t>
      </w:r>
      <w:r w:rsidRPr="009D283D">
        <w:t xml:space="preserve"> Concerned about the crowding-out effects of government borrowing on private investment spending, a candidate for president argues that the United States should just print money to cover the government’s budget deficit. What are the advantages and disadvantages of such a plan?</w:t>
      </w:r>
    </w:p>
    <w:p w14:paraId="4E3B2032" w14:textId="77777777" w:rsidR="004D2787" w:rsidRPr="009D283D" w:rsidRDefault="004D2787" w:rsidP="004D2787">
      <w:pPr>
        <w:pStyle w:val="noindent"/>
        <w:spacing w:before="0" w:beforeAutospacing="0" w:after="0" w:afterAutospacing="0" w:line="240" w:lineRule="auto"/>
        <w:ind w:left="252" w:hanging="252"/>
      </w:pPr>
    </w:p>
    <w:p w14:paraId="11AC0F1A" w14:textId="77777777" w:rsidR="00962185" w:rsidRDefault="00962185"/>
    <w:p w14:paraId="0BDB1A4D" w14:textId="5A22F69D" w:rsidR="0041110B" w:rsidRDefault="003F51BD">
      <w:pPr>
        <w:rPr>
          <w:rFonts w:ascii="Arial" w:hAnsi="Arial"/>
          <w:b/>
          <w:bCs/>
          <w:color w:val="222222"/>
          <w:shd w:val="clear" w:color="auto" w:fill="FFFFFF"/>
        </w:rPr>
      </w:pPr>
      <w:r w:rsidRPr="00860C46">
        <w:rPr>
          <w:rFonts w:ascii="Arial" w:hAnsi="Arial"/>
          <w:b/>
          <w:bCs/>
          <w:color w:val="222222"/>
          <w:shd w:val="clear" w:color="auto" w:fill="FFFFFF"/>
        </w:rPr>
        <w:t>Chapter 17: Problem 1</w:t>
      </w:r>
    </w:p>
    <w:p w14:paraId="7C65ECAA" w14:textId="77777777" w:rsidR="003F51BD" w:rsidRDefault="003F51BD"/>
    <w:p w14:paraId="4FD801DD" w14:textId="77777777" w:rsidR="0041110B" w:rsidRPr="0066647C" w:rsidRDefault="0041110B" w:rsidP="0041110B">
      <w:pPr>
        <w:pStyle w:val="noindent"/>
        <w:spacing w:before="0" w:beforeAutospacing="0" w:after="0" w:afterAutospacing="0" w:line="240" w:lineRule="auto"/>
        <w:ind w:left="252" w:hanging="252"/>
      </w:pPr>
      <w:r w:rsidRPr="0066647C">
        <w:rPr>
          <w:b/>
        </w:rPr>
        <w:t>1.</w:t>
      </w:r>
      <w:r w:rsidRPr="0066647C">
        <w:t xml:space="preserve"> Since the crash of its stock market in 1989, the Japanese economy has seen little economic growth and some deflation. The accompanying table from the Organization for Economic Cooperation and Development (OECD) shows some key macroeconomic data for Japan for 1991 (a “normal” year) and 1995–2003.</w:t>
      </w:r>
    </w:p>
    <w:p w14:paraId="2CCC59D9" w14:textId="77777777" w:rsidR="0041110B" w:rsidRPr="0066647C" w:rsidRDefault="0041110B" w:rsidP="0041110B">
      <w:pPr>
        <w:pStyle w:val="noindent"/>
        <w:spacing w:before="0" w:beforeAutospacing="0" w:after="0" w:afterAutospacing="0" w:line="240" w:lineRule="auto"/>
        <w:ind w:left="477" w:hanging="225"/>
      </w:pPr>
      <w:r w:rsidRPr="0066647C">
        <w:rPr>
          <w:b/>
        </w:rPr>
        <w:t>a.</w:t>
      </w:r>
      <w:r w:rsidRPr="0066647C">
        <w:t xml:space="preserve"> From the data, determine the type of policies Japan’s policy makers undertook at that time to promote growth.</w:t>
      </w:r>
    </w:p>
    <w:p w14:paraId="0246592C" w14:textId="612EB9BA" w:rsidR="0041110B" w:rsidRPr="0066647C" w:rsidRDefault="0041110B" w:rsidP="0041110B">
      <w:pPr>
        <w:pStyle w:val="noindent"/>
        <w:spacing w:before="0" w:beforeAutospacing="0" w:after="0" w:afterAutospacing="0" w:line="240" w:lineRule="auto"/>
        <w:ind w:left="477" w:hanging="225"/>
      </w:pPr>
      <w:r w:rsidRPr="0066647C">
        <w:rPr>
          <w:b/>
        </w:rPr>
        <w:t>b.</w:t>
      </w:r>
      <w:r w:rsidRPr="0066647C">
        <w:t xml:space="preserve"> We can safely consider a short-term interest rate that is less than 0.1% to effectively be a 0% interest rate. What is this situation called? What does it imply about the effectiveness of monetary policy? Of fiscal policy?</w:t>
      </w:r>
    </w:p>
    <w:tbl>
      <w:tblPr>
        <w:tblStyle w:val="TableGrid"/>
        <w:tblW w:w="10680"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60"/>
        <w:gridCol w:w="2150"/>
        <w:gridCol w:w="1620"/>
        <w:gridCol w:w="2250"/>
        <w:gridCol w:w="3600"/>
      </w:tblGrid>
      <w:tr w:rsidR="0041110B" w:rsidRPr="0066647C" w14:paraId="3DD39730" w14:textId="77777777" w:rsidTr="00962185">
        <w:trPr>
          <w:trHeight w:val="60"/>
          <w:tblHeader/>
        </w:trPr>
        <w:tc>
          <w:tcPr>
            <w:tcW w:w="1060" w:type="dxa"/>
            <w:tcMar>
              <w:top w:w="80" w:type="dxa"/>
              <w:left w:w="80" w:type="dxa"/>
              <w:bottom w:w="80" w:type="dxa"/>
              <w:right w:w="80" w:type="dxa"/>
            </w:tcMar>
            <w:vAlign w:val="bottom"/>
          </w:tcPr>
          <w:p w14:paraId="2350121D" w14:textId="77777777" w:rsidR="0041110B" w:rsidRPr="0066647C" w:rsidRDefault="0041110B" w:rsidP="0041110B">
            <w:pPr>
              <w:pStyle w:val="NlTable"/>
              <w:spacing w:before="0" w:after="0"/>
              <w:rPr>
                <w:b/>
              </w:rPr>
            </w:pPr>
            <w:r w:rsidRPr="0066647C">
              <w:rPr>
                <w:b/>
              </w:rPr>
              <w:lastRenderedPageBreak/>
              <w:t>Year</w:t>
            </w:r>
          </w:p>
        </w:tc>
        <w:tc>
          <w:tcPr>
            <w:tcW w:w="2150" w:type="dxa"/>
            <w:tcMar>
              <w:top w:w="80" w:type="dxa"/>
              <w:left w:w="80" w:type="dxa"/>
              <w:bottom w:w="80" w:type="dxa"/>
              <w:right w:w="80" w:type="dxa"/>
            </w:tcMar>
            <w:vAlign w:val="bottom"/>
          </w:tcPr>
          <w:p w14:paraId="51D3A200" w14:textId="77777777" w:rsidR="0041110B" w:rsidRPr="0066647C" w:rsidRDefault="0041110B" w:rsidP="0041110B">
            <w:pPr>
              <w:pStyle w:val="NlTable"/>
              <w:spacing w:before="0" w:after="0"/>
              <w:jc w:val="center"/>
              <w:rPr>
                <w:b/>
              </w:rPr>
            </w:pPr>
            <w:r w:rsidRPr="0066647C">
              <w:rPr>
                <w:b/>
              </w:rPr>
              <w:t>Real GDP annual growth rate</w:t>
            </w:r>
          </w:p>
        </w:tc>
        <w:tc>
          <w:tcPr>
            <w:tcW w:w="1620" w:type="dxa"/>
            <w:tcMar>
              <w:top w:w="80" w:type="dxa"/>
              <w:left w:w="80" w:type="dxa"/>
              <w:bottom w:w="80" w:type="dxa"/>
              <w:right w:w="80" w:type="dxa"/>
            </w:tcMar>
            <w:vAlign w:val="bottom"/>
          </w:tcPr>
          <w:p w14:paraId="3EFAAE12" w14:textId="77777777" w:rsidR="0041110B" w:rsidRPr="0066647C" w:rsidRDefault="0041110B" w:rsidP="0041110B">
            <w:pPr>
              <w:pStyle w:val="NlTable"/>
              <w:spacing w:before="0" w:after="0"/>
              <w:jc w:val="center"/>
              <w:rPr>
                <w:b/>
              </w:rPr>
            </w:pPr>
            <w:r w:rsidRPr="0066647C">
              <w:rPr>
                <w:b/>
              </w:rPr>
              <w:t>Short-term interest rate</w:t>
            </w:r>
          </w:p>
        </w:tc>
        <w:tc>
          <w:tcPr>
            <w:tcW w:w="2250" w:type="dxa"/>
            <w:tcMar>
              <w:top w:w="80" w:type="dxa"/>
              <w:left w:w="80" w:type="dxa"/>
              <w:bottom w:w="80" w:type="dxa"/>
              <w:right w:w="80" w:type="dxa"/>
            </w:tcMar>
            <w:vAlign w:val="bottom"/>
          </w:tcPr>
          <w:p w14:paraId="31F4BABD" w14:textId="77777777" w:rsidR="0041110B" w:rsidRPr="0066647C" w:rsidRDefault="0041110B" w:rsidP="0041110B">
            <w:pPr>
              <w:pStyle w:val="NlTable"/>
              <w:spacing w:before="0" w:after="0"/>
              <w:jc w:val="center"/>
              <w:rPr>
                <w:b/>
              </w:rPr>
            </w:pPr>
            <w:r w:rsidRPr="0066647C">
              <w:rPr>
                <w:b/>
              </w:rPr>
              <w:t>Government debt (percent of GDP)</w:t>
            </w:r>
          </w:p>
        </w:tc>
        <w:tc>
          <w:tcPr>
            <w:tcW w:w="3600" w:type="dxa"/>
            <w:tcMar>
              <w:top w:w="80" w:type="dxa"/>
              <w:left w:w="80" w:type="dxa"/>
              <w:bottom w:w="80" w:type="dxa"/>
              <w:right w:w="80" w:type="dxa"/>
            </w:tcMar>
            <w:vAlign w:val="bottom"/>
          </w:tcPr>
          <w:p w14:paraId="14ACA21B" w14:textId="77777777" w:rsidR="0041110B" w:rsidRPr="0066647C" w:rsidRDefault="0041110B" w:rsidP="0041110B">
            <w:pPr>
              <w:pStyle w:val="NlTable"/>
              <w:spacing w:before="0" w:after="0"/>
              <w:jc w:val="center"/>
              <w:rPr>
                <w:b/>
              </w:rPr>
            </w:pPr>
            <w:r w:rsidRPr="0066647C">
              <w:rPr>
                <w:b/>
              </w:rPr>
              <w:t>Government budget deficit (percent of GDP)</w:t>
            </w:r>
          </w:p>
        </w:tc>
      </w:tr>
      <w:tr w:rsidR="0041110B" w:rsidRPr="0066647C" w14:paraId="7DFC9C40" w14:textId="77777777" w:rsidTr="00962185">
        <w:trPr>
          <w:trHeight w:val="60"/>
          <w:tblHeader/>
        </w:trPr>
        <w:tc>
          <w:tcPr>
            <w:tcW w:w="1060" w:type="dxa"/>
            <w:tcMar>
              <w:top w:w="80" w:type="dxa"/>
              <w:left w:w="80" w:type="dxa"/>
              <w:bottom w:w="80" w:type="dxa"/>
              <w:right w:w="80" w:type="dxa"/>
            </w:tcMar>
            <w:vAlign w:val="center"/>
          </w:tcPr>
          <w:p w14:paraId="795BDACF" w14:textId="77777777" w:rsidR="0041110B" w:rsidRPr="0066647C" w:rsidRDefault="0041110B" w:rsidP="0041110B">
            <w:pPr>
              <w:pStyle w:val="NlTable"/>
              <w:spacing w:before="0" w:after="0"/>
            </w:pPr>
            <w:r w:rsidRPr="0066647C">
              <w:t>1991</w:t>
            </w:r>
          </w:p>
        </w:tc>
        <w:tc>
          <w:tcPr>
            <w:tcW w:w="2150" w:type="dxa"/>
            <w:tcMar>
              <w:top w:w="80" w:type="dxa"/>
              <w:left w:w="80" w:type="dxa"/>
              <w:bottom w:w="80" w:type="dxa"/>
              <w:right w:w="80" w:type="dxa"/>
            </w:tcMar>
            <w:vAlign w:val="center"/>
          </w:tcPr>
          <w:p w14:paraId="53E63740" w14:textId="77777777" w:rsidR="0041110B" w:rsidRPr="0066647C" w:rsidRDefault="0041110B" w:rsidP="0041110B">
            <w:pPr>
              <w:pStyle w:val="NlTable"/>
              <w:spacing w:before="0" w:after="0"/>
              <w:jc w:val="center"/>
            </w:pPr>
            <w:r w:rsidRPr="0066647C">
              <w:t>3.4%</w:t>
            </w:r>
          </w:p>
        </w:tc>
        <w:tc>
          <w:tcPr>
            <w:tcW w:w="1620" w:type="dxa"/>
            <w:tcMar>
              <w:top w:w="80" w:type="dxa"/>
              <w:left w:w="80" w:type="dxa"/>
              <w:bottom w:w="80" w:type="dxa"/>
              <w:right w:w="80" w:type="dxa"/>
            </w:tcMar>
            <w:vAlign w:val="center"/>
          </w:tcPr>
          <w:p w14:paraId="41E27C6C" w14:textId="77777777" w:rsidR="0041110B" w:rsidRPr="0066647C" w:rsidRDefault="0041110B" w:rsidP="0041110B">
            <w:pPr>
              <w:pStyle w:val="NlTable"/>
              <w:spacing w:before="0" w:after="0"/>
              <w:jc w:val="center"/>
            </w:pPr>
            <w:r w:rsidRPr="0066647C">
              <w:t>7.38%</w:t>
            </w:r>
          </w:p>
        </w:tc>
        <w:tc>
          <w:tcPr>
            <w:tcW w:w="2250" w:type="dxa"/>
            <w:tcMar>
              <w:top w:w="80" w:type="dxa"/>
              <w:left w:w="80" w:type="dxa"/>
              <w:bottom w:w="80" w:type="dxa"/>
              <w:right w:w="80" w:type="dxa"/>
            </w:tcMar>
            <w:vAlign w:val="center"/>
          </w:tcPr>
          <w:p w14:paraId="28CC23D6" w14:textId="77777777" w:rsidR="0041110B" w:rsidRPr="0066647C" w:rsidRDefault="0041110B" w:rsidP="0041110B">
            <w:pPr>
              <w:pStyle w:val="NlTable"/>
              <w:spacing w:before="0" w:after="0"/>
              <w:jc w:val="center"/>
            </w:pPr>
            <w:r w:rsidRPr="0066647C">
              <w:t>64.8%</w:t>
            </w:r>
          </w:p>
        </w:tc>
        <w:tc>
          <w:tcPr>
            <w:tcW w:w="3600" w:type="dxa"/>
            <w:tcMar>
              <w:top w:w="80" w:type="dxa"/>
              <w:left w:w="80" w:type="dxa"/>
              <w:bottom w:w="80" w:type="dxa"/>
              <w:right w:w="80" w:type="dxa"/>
            </w:tcMar>
            <w:vAlign w:val="center"/>
          </w:tcPr>
          <w:p w14:paraId="3A879219" w14:textId="77777777" w:rsidR="0041110B" w:rsidRPr="0066647C" w:rsidRDefault="0041110B" w:rsidP="0041110B">
            <w:pPr>
              <w:pStyle w:val="NlTable"/>
              <w:spacing w:before="0" w:after="0"/>
              <w:jc w:val="center"/>
            </w:pPr>
            <w:r>
              <w:t>−</w:t>
            </w:r>
            <w:r w:rsidRPr="0066647C">
              <w:t>1.81%</w:t>
            </w:r>
          </w:p>
        </w:tc>
      </w:tr>
      <w:tr w:rsidR="0041110B" w:rsidRPr="0066647C" w14:paraId="2EE4BAEB" w14:textId="77777777" w:rsidTr="00962185">
        <w:trPr>
          <w:trHeight w:val="60"/>
          <w:tblHeader/>
        </w:trPr>
        <w:tc>
          <w:tcPr>
            <w:tcW w:w="1060" w:type="dxa"/>
            <w:tcMar>
              <w:top w:w="80" w:type="dxa"/>
              <w:left w:w="80" w:type="dxa"/>
              <w:bottom w:w="80" w:type="dxa"/>
              <w:right w:w="80" w:type="dxa"/>
            </w:tcMar>
            <w:vAlign w:val="center"/>
          </w:tcPr>
          <w:p w14:paraId="5F0334EA" w14:textId="77777777" w:rsidR="0041110B" w:rsidRPr="0066647C" w:rsidRDefault="0041110B" w:rsidP="0041110B">
            <w:pPr>
              <w:pStyle w:val="NlTable"/>
              <w:spacing w:before="0" w:after="0"/>
            </w:pPr>
            <w:r w:rsidRPr="0066647C">
              <w:t>1995</w:t>
            </w:r>
          </w:p>
        </w:tc>
        <w:tc>
          <w:tcPr>
            <w:tcW w:w="2150" w:type="dxa"/>
            <w:tcMar>
              <w:top w:w="80" w:type="dxa"/>
              <w:left w:w="80" w:type="dxa"/>
              <w:bottom w:w="80" w:type="dxa"/>
              <w:right w:w="80" w:type="dxa"/>
            </w:tcMar>
            <w:vAlign w:val="center"/>
          </w:tcPr>
          <w:p w14:paraId="1911E3FB" w14:textId="77777777" w:rsidR="0041110B" w:rsidRPr="0066647C" w:rsidRDefault="0041110B" w:rsidP="0041110B">
            <w:pPr>
              <w:pStyle w:val="NlTable"/>
              <w:spacing w:before="0" w:after="0"/>
              <w:jc w:val="center"/>
            </w:pPr>
            <w:r w:rsidRPr="0066647C">
              <w:t>1.9</w:t>
            </w:r>
          </w:p>
        </w:tc>
        <w:tc>
          <w:tcPr>
            <w:tcW w:w="1620" w:type="dxa"/>
            <w:tcMar>
              <w:top w:w="80" w:type="dxa"/>
              <w:left w:w="80" w:type="dxa"/>
              <w:bottom w:w="80" w:type="dxa"/>
              <w:right w:w="80" w:type="dxa"/>
            </w:tcMar>
            <w:vAlign w:val="center"/>
          </w:tcPr>
          <w:p w14:paraId="5E63C808" w14:textId="77777777" w:rsidR="0041110B" w:rsidRPr="0066647C" w:rsidRDefault="0041110B" w:rsidP="0041110B">
            <w:pPr>
              <w:pStyle w:val="NlTable"/>
              <w:spacing w:before="0" w:after="0"/>
              <w:jc w:val="center"/>
            </w:pPr>
            <w:r w:rsidRPr="0066647C">
              <w:t>1.23</w:t>
            </w:r>
          </w:p>
        </w:tc>
        <w:tc>
          <w:tcPr>
            <w:tcW w:w="2250" w:type="dxa"/>
            <w:tcMar>
              <w:top w:w="80" w:type="dxa"/>
              <w:left w:w="80" w:type="dxa"/>
              <w:bottom w:w="80" w:type="dxa"/>
              <w:right w:w="80" w:type="dxa"/>
            </w:tcMar>
            <w:vAlign w:val="center"/>
          </w:tcPr>
          <w:p w14:paraId="34FDCF6C" w14:textId="77777777" w:rsidR="0041110B" w:rsidRPr="0066647C" w:rsidRDefault="0041110B" w:rsidP="0041110B">
            <w:pPr>
              <w:pStyle w:val="NlTable"/>
              <w:spacing w:before="0" w:after="0"/>
              <w:jc w:val="center"/>
            </w:pPr>
            <w:r w:rsidRPr="0066647C">
              <w:t>87.1</w:t>
            </w:r>
          </w:p>
        </w:tc>
        <w:tc>
          <w:tcPr>
            <w:tcW w:w="3600" w:type="dxa"/>
            <w:tcMar>
              <w:top w:w="80" w:type="dxa"/>
              <w:left w:w="80" w:type="dxa"/>
              <w:bottom w:w="80" w:type="dxa"/>
              <w:right w:w="80" w:type="dxa"/>
            </w:tcMar>
            <w:vAlign w:val="center"/>
          </w:tcPr>
          <w:p w14:paraId="080B2706" w14:textId="77777777" w:rsidR="0041110B" w:rsidRPr="0066647C" w:rsidRDefault="0041110B" w:rsidP="0041110B">
            <w:pPr>
              <w:pStyle w:val="NlTable"/>
              <w:spacing w:before="0" w:after="0"/>
              <w:jc w:val="center"/>
            </w:pPr>
            <w:r w:rsidRPr="0066647C">
              <w:t>4.71</w:t>
            </w:r>
          </w:p>
        </w:tc>
      </w:tr>
      <w:tr w:rsidR="0041110B" w:rsidRPr="0066647C" w14:paraId="2AB12893" w14:textId="77777777" w:rsidTr="00962185">
        <w:trPr>
          <w:trHeight w:val="60"/>
          <w:tblHeader/>
        </w:trPr>
        <w:tc>
          <w:tcPr>
            <w:tcW w:w="1060" w:type="dxa"/>
            <w:tcMar>
              <w:top w:w="80" w:type="dxa"/>
              <w:left w:w="80" w:type="dxa"/>
              <w:bottom w:w="80" w:type="dxa"/>
              <w:right w:w="80" w:type="dxa"/>
            </w:tcMar>
            <w:vAlign w:val="center"/>
          </w:tcPr>
          <w:p w14:paraId="17E38385" w14:textId="77777777" w:rsidR="0041110B" w:rsidRPr="0066647C" w:rsidRDefault="0041110B" w:rsidP="0041110B">
            <w:pPr>
              <w:pStyle w:val="NlTable"/>
              <w:spacing w:before="0" w:after="0"/>
            </w:pPr>
            <w:r w:rsidRPr="0066647C">
              <w:t>1996</w:t>
            </w:r>
          </w:p>
        </w:tc>
        <w:tc>
          <w:tcPr>
            <w:tcW w:w="2150" w:type="dxa"/>
            <w:tcMar>
              <w:top w:w="80" w:type="dxa"/>
              <w:left w:w="80" w:type="dxa"/>
              <w:bottom w:w="80" w:type="dxa"/>
              <w:right w:w="80" w:type="dxa"/>
            </w:tcMar>
            <w:vAlign w:val="center"/>
          </w:tcPr>
          <w:p w14:paraId="0E3936FF" w14:textId="77777777" w:rsidR="0041110B" w:rsidRPr="0066647C" w:rsidRDefault="0041110B" w:rsidP="0041110B">
            <w:pPr>
              <w:pStyle w:val="NlTable"/>
              <w:spacing w:before="0" w:after="0"/>
              <w:jc w:val="center"/>
            </w:pPr>
            <w:r w:rsidRPr="0066647C">
              <w:t>3.4</w:t>
            </w:r>
          </w:p>
        </w:tc>
        <w:tc>
          <w:tcPr>
            <w:tcW w:w="1620" w:type="dxa"/>
            <w:tcMar>
              <w:top w:w="80" w:type="dxa"/>
              <w:left w:w="80" w:type="dxa"/>
              <w:bottom w:w="80" w:type="dxa"/>
              <w:right w:w="80" w:type="dxa"/>
            </w:tcMar>
            <w:vAlign w:val="center"/>
          </w:tcPr>
          <w:p w14:paraId="43FF9886" w14:textId="77777777" w:rsidR="0041110B" w:rsidRPr="0066647C" w:rsidRDefault="0041110B" w:rsidP="0041110B">
            <w:pPr>
              <w:pStyle w:val="NlTable"/>
              <w:spacing w:before="0" w:after="0"/>
              <w:jc w:val="center"/>
            </w:pPr>
            <w:r w:rsidRPr="0066647C">
              <w:t>0.59</w:t>
            </w:r>
          </w:p>
        </w:tc>
        <w:tc>
          <w:tcPr>
            <w:tcW w:w="2250" w:type="dxa"/>
            <w:tcMar>
              <w:top w:w="80" w:type="dxa"/>
              <w:left w:w="80" w:type="dxa"/>
              <w:bottom w:w="80" w:type="dxa"/>
              <w:right w:w="80" w:type="dxa"/>
            </w:tcMar>
            <w:vAlign w:val="center"/>
          </w:tcPr>
          <w:p w14:paraId="3F8B15E3" w14:textId="77777777" w:rsidR="0041110B" w:rsidRPr="0066647C" w:rsidRDefault="0041110B" w:rsidP="0041110B">
            <w:pPr>
              <w:pStyle w:val="NlTable"/>
              <w:spacing w:before="0" w:after="0"/>
              <w:jc w:val="center"/>
            </w:pPr>
            <w:r w:rsidRPr="0066647C">
              <w:t>93.9</w:t>
            </w:r>
          </w:p>
        </w:tc>
        <w:tc>
          <w:tcPr>
            <w:tcW w:w="3600" w:type="dxa"/>
            <w:tcMar>
              <w:top w:w="80" w:type="dxa"/>
              <w:left w:w="80" w:type="dxa"/>
              <w:bottom w:w="80" w:type="dxa"/>
              <w:right w:w="80" w:type="dxa"/>
            </w:tcMar>
            <w:vAlign w:val="center"/>
          </w:tcPr>
          <w:p w14:paraId="55D36AB3" w14:textId="77777777" w:rsidR="0041110B" w:rsidRPr="0066647C" w:rsidRDefault="0041110B" w:rsidP="0041110B">
            <w:pPr>
              <w:pStyle w:val="NlTable"/>
              <w:spacing w:before="0" w:after="0"/>
              <w:jc w:val="center"/>
            </w:pPr>
            <w:r w:rsidRPr="0066647C">
              <w:t>5.07</w:t>
            </w:r>
          </w:p>
        </w:tc>
      </w:tr>
      <w:tr w:rsidR="0041110B" w:rsidRPr="0066647C" w14:paraId="2BBBEEF4" w14:textId="77777777" w:rsidTr="00962185">
        <w:trPr>
          <w:trHeight w:val="60"/>
          <w:tblHeader/>
        </w:trPr>
        <w:tc>
          <w:tcPr>
            <w:tcW w:w="1060" w:type="dxa"/>
            <w:tcMar>
              <w:top w:w="80" w:type="dxa"/>
              <w:left w:w="80" w:type="dxa"/>
              <w:bottom w:w="80" w:type="dxa"/>
              <w:right w:w="80" w:type="dxa"/>
            </w:tcMar>
            <w:vAlign w:val="center"/>
          </w:tcPr>
          <w:p w14:paraId="696E572E" w14:textId="77777777" w:rsidR="0041110B" w:rsidRPr="0066647C" w:rsidRDefault="0041110B" w:rsidP="0041110B">
            <w:pPr>
              <w:pStyle w:val="NlTable"/>
              <w:spacing w:before="0" w:after="0"/>
            </w:pPr>
            <w:r w:rsidRPr="0066647C">
              <w:t>1997</w:t>
            </w:r>
          </w:p>
        </w:tc>
        <w:tc>
          <w:tcPr>
            <w:tcW w:w="2150" w:type="dxa"/>
            <w:tcMar>
              <w:top w:w="80" w:type="dxa"/>
              <w:left w:w="80" w:type="dxa"/>
              <w:bottom w:w="80" w:type="dxa"/>
              <w:right w:w="80" w:type="dxa"/>
            </w:tcMar>
            <w:vAlign w:val="center"/>
          </w:tcPr>
          <w:p w14:paraId="4913805D" w14:textId="77777777" w:rsidR="0041110B" w:rsidRPr="0066647C" w:rsidRDefault="0041110B" w:rsidP="0041110B">
            <w:pPr>
              <w:pStyle w:val="NlTable"/>
              <w:spacing w:before="0" w:after="0"/>
              <w:jc w:val="center"/>
            </w:pPr>
            <w:r w:rsidRPr="0066647C">
              <w:t>1.9</w:t>
            </w:r>
          </w:p>
        </w:tc>
        <w:tc>
          <w:tcPr>
            <w:tcW w:w="1620" w:type="dxa"/>
            <w:tcMar>
              <w:top w:w="80" w:type="dxa"/>
              <w:left w:w="80" w:type="dxa"/>
              <w:bottom w:w="80" w:type="dxa"/>
              <w:right w:w="80" w:type="dxa"/>
            </w:tcMar>
            <w:vAlign w:val="center"/>
          </w:tcPr>
          <w:p w14:paraId="0C3044E8" w14:textId="77777777" w:rsidR="0041110B" w:rsidRPr="0066647C" w:rsidRDefault="0041110B" w:rsidP="0041110B">
            <w:pPr>
              <w:pStyle w:val="NlTable"/>
              <w:spacing w:before="0" w:after="0"/>
              <w:jc w:val="center"/>
            </w:pPr>
            <w:r w:rsidRPr="0066647C">
              <w:t>0.60</w:t>
            </w:r>
          </w:p>
        </w:tc>
        <w:tc>
          <w:tcPr>
            <w:tcW w:w="2250" w:type="dxa"/>
            <w:tcMar>
              <w:top w:w="80" w:type="dxa"/>
              <w:left w:w="80" w:type="dxa"/>
              <w:bottom w:w="80" w:type="dxa"/>
              <w:right w:w="80" w:type="dxa"/>
            </w:tcMar>
            <w:vAlign w:val="center"/>
          </w:tcPr>
          <w:p w14:paraId="32D038F2" w14:textId="77777777" w:rsidR="0041110B" w:rsidRPr="0066647C" w:rsidRDefault="0041110B" w:rsidP="0041110B">
            <w:pPr>
              <w:pStyle w:val="NlTable"/>
              <w:spacing w:before="0" w:after="0"/>
              <w:jc w:val="center"/>
            </w:pPr>
            <w:r w:rsidRPr="0066647C">
              <w:t>100.3</w:t>
            </w:r>
          </w:p>
        </w:tc>
        <w:tc>
          <w:tcPr>
            <w:tcW w:w="3600" w:type="dxa"/>
            <w:tcMar>
              <w:top w:w="80" w:type="dxa"/>
              <w:left w:w="80" w:type="dxa"/>
              <w:bottom w:w="80" w:type="dxa"/>
              <w:right w:w="80" w:type="dxa"/>
            </w:tcMar>
            <w:vAlign w:val="center"/>
          </w:tcPr>
          <w:p w14:paraId="79256C62" w14:textId="77777777" w:rsidR="0041110B" w:rsidRPr="0066647C" w:rsidRDefault="0041110B" w:rsidP="0041110B">
            <w:pPr>
              <w:pStyle w:val="NlTable"/>
              <w:spacing w:before="0" w:after="0"/>
              <w:jc w:val="center"/>
            </w:pPr>
            <w:r w:rsidRPr="0066647C">
              <w:t>3.79</w:t>
            </w:r>
          </w:p>
        </w:tc>
      </w:tr>
      <w:tr w:rsidR="0041110B" w:rsidRPr="0066647C" w14:paraId="32E18285" w14:textId="77777777" w:rsidTr="00962185">
        <w:trPr>
          <w:trHeight w:val="60"/>
          <w:tblHeader/>
        </w:trPr>
        <w:tc>
          <w:tcPr>
            <w:tcW w:w="1060" w:type="dxa"/>
            <w:tcMar>
              <w:top w:w="80" w:type="dxa"/>
              <w:left w:w="80" w:type="dxa"/>
              <w:bottom w:w="80" w:type="dxa"/>
              <w:right w:w="80" w:type="dxa"/>
            </w:tcMar>
            <w:vAlign w:val="center"/>
          </w:tcPr>
          <w:p w14:paraId="63CACA26" w14:textId="77777777" w:rsidR="0041110B" w:rsidRPr="0066647C" w:rsidRDefault="0041110B" w:rsidP="0041110B">
            <w:pPr>
              <w:pStyle w:val="NlTable"/>
              <w:spacing w:before="0" w:after="0"/>
            </w:pPr>
            <w:r w:rsidRPr="0066647C">
              <w:t>1998</w:t>
            </w:r>
          </w:p>
        </w:tc>
        <w:tc>
          <w:tcPr>
            <w:tcW w:w="2150" w:type="dxa"/>
            <w:tcMar>
              <w:top w:w="80" w:type="dxa"/>
              <w:left w:w="80" w:type="dxa"/>
              <w:bottom w:w="80" w:type="dxa"/>
              <w:right w:w="80" w:type="dxa"/>
            </w:tcMar>
            <w:vAlign w:val="center"/>
          </w:tcPr>
          <w:p w14:paraId="75BA06E4" w14:textId="77777777" w:rsidR="0041110B" w:rsidRPr="0066647C" w:rsidRDefault="0041110B" w:rsidP="0041110B">
            <w:pPr>
              <w:pStyle w:val="NlTable"/>
              <w:spacing w:before="0" w:after="0"/>
              <w:jc w:val="center"/>
            </w:pPr>
            <w:r>
              <w:t>−</w:t>
            </w:r>
            <w:r w:rsidRPr="0066647C">
              <w:t>1.1</w:t>
            </w:r>
          </w:p>
        </w:tc>
        <w:tc>
          <w:tcPr>
            <w:tcW w:w="1620" w:type="dxa"/>
            <w:tcMar>
              <w:top w:w="80" w:type="dxa"/>
              <w:left w:w="80" w:type="dxa"/>
              <w:bottom w:w="80" w:type="dxa"/>
              <w:right w:w="80" w:type="dxa"/>
            </w:tcMar>
            <w:vAlign w:val="center"/>
          </w:tcPr>
          <w:p w14:paraId="7CA75907" w14:textId="77777777" w:rsidR="0041110B" w:rsidRPr="0066647C" w:rsidRDefault="0041110B" w:rsidP="0041110B">
            <w:pPr>
              <w:pStyle w:val="NlTable"/>
              <w:spacing w:before="0" w:after="0"/>
              <w:jc w:val="center"/>
            </w:pPr>
            <w:r w:rsidRPr="0066647C">
              <w:t>0.72</w:t>
            </w:r>
          </w:p>
        </w:tc>
        <w:tc>
          <w:tcPr>
            <w:tcW w:w="2250" w:type="dxa"/>
            <w:tcMar>
              <w:top w:w="80" w:type="dxa"/>
              <w:left w:w="80" w:type="dxa"/>
              <w:bottom w:w="80" w:type="dxa"/>
              <w:right w:w="80" w:type="dxa"/>
            </w:tcMar>
            <w:vAlign w:val="center"/>
          </w:tcPr>
          <w:p w14:paraId="3B0F59A7" w14:textId="77777777" w:rsidR="0041110B" w:rsidRPr="0066647C" w:rsidRDefault="0041110B" w:rsidP="0041110B">
            <w:pPr>
              <w:pStyle w:val="NlTable"/>
              <w:spacing w:before="0" w:after="0"/>
              <w:jc w:val="center"/>
            </w:pPr>
            <w:r w:rsidRPr="0066647C">
              <w:t>112.2</w:t>
            </w:r>
          </w:p>
        </w:tc>
        <w:tc>
          <w:tcPr>
            <w:tcW w:w="3600" w:type="dxa"/>
            <w:tcMar>
              <w:top w:w="80" w:type="dxa"/>
              <w:left w:w="80" w:type="dxa"/>
              <w:bottom w:w="80" w:type="dxa"/>
              <w:right w:w="80" w:type="dxa"/>
            </w:tcMar>
            <w:vAlign w:val="center"/>
          </w:tcPr>
          <w:p w14:paraId="56EF3C19" w14:textId="77777777" w:rsidR="0041110B" w:rsidRPr="0066647C" w:rsidRDefault="0041110B" w:rsidP="0041110B">
            <w:pPr>
              <w:pStyle w:val="NlTable"/>
              <w:spacing w:before="0" w:after="0"/>
              <w:jc w:val="center"/>
            </w:pPr>
            <w:r w:rsidRPr="0066647C">
              <w:t>5.51</w:t>
            </w:r>
          </w:p>
        </w:tc>
      </w:tr>
      <w:tr w:rsidR="0041110B" w:rsidRPr="0066647C" w14:paraId="2D76204E" w14:textId="77777777" w:rsidTr="00962185">
        <w:trPr>
          <w:trHeight w:val="60"/>
          <w:tblHeader/>
        </w:trPr>
        <w:tc>
          <w:tcPr>
            <w:tcW w:w="1060" w:type="dxa"/>
            <w:tcMar>
              <w:top w:w="80" w:type="dxa"/>
              <w:left w:w="80" w:type="dxa"/>
              <w:bottom w:w="80" w:type="dxa"/>
              <w:right w:w="80" w:type="dxa"/>
            </w:tcMar>
            <w:vAlign w:val="center"/>
          </w:tcPr>
          <w:p w14:paraId="1058F053" w14:textId="77777777" w:rsidR="0041110B" w:rsidRPr="0066647C" w:rsidRDefault="0041110B" w:rsidP="0041110B">
            <w:pPr>
              <w:pStyle w:val="NlTable"/>
              <w:spacing w:before="0" w:after="0"/>
            </w:pPr>
            <w:r w:rsidRPr="0066647C">
              <w:t>1999</w:t>
            </w:r>
          </w:p>
        </w:tc>
        <w:tc>
          <w:tcPr>
            <w:tcW w:w="2150" w:type="dxa"/>
            <w:tcMar>
              <w:top w:w="80" w:type="dxa"/>
              <w:left w:w="80" w:type="dxa"/>
              <w:bottom w:w="80" w:type="dxa"/>
              <w:right w:w="80" w:type="dxa"/>
            </w:tcMar>
            <w:vAlign w:val="center"/>
          </w:tcPr>
          <w:p w14:paraId="3F0868FC" w14:textId="77777777" w:rsidR="0041110B" w:rsidRPr="0066647C" w:rsidRDefault="0041110B" w:rsidP="0041110B">
            <w:pPr>
              <w:pStyle w:val="NlTable"/>
              <w:spacing w:before="0" w:after="0"/>
              <w:jc w:val="center"/>
            </w:pPr>
            <w:r w:rsidRPr="0066647C">
              <w:t>0.1</w:t>
            </w:r>
          </w:p>
        </w:tc>
        <w:tc>
          <w:tcPr>
            <w:tcW w:w="1620" w:type="dxa"/>
            <w:tcMar>
              <w:top w:w="80" w:type="dxa"/>
              <w:left w:w="80" w:type="dxa"/>
              <w:bottom w:w="80" w:type="dxa"/>
              <w:right w:w="80" w:type="dxa"/>
            </w:tcMar>
            <w:vAlign w:val="center"/>
          </w:tcPr>
          <w:p w14:paraId="40B0544D" w14:textId="77777777" w:rsidR="0041110B" w:rsidRPr="0066647C" w:rsidRDefault="0041110B" w:rsidP="0041110B">
            <w:pPr>
              <w:pStyle w:val="NlTable"/>
              <w:spacing w:before="0" w:after="0"/>
              <w:jc w:val="center"/>
            </w:pPr>
            <w:r w:rsidRPr="0066647C">
              <w:t>0.25</w:t>
            </w:r>
          </w:p>
        </w:tc>
        <w:tc>
          <w:tcPr>
            <w:tcW w:w="2250" w:type="dxa"/>
            <w:tcMar>
              <w:top w:w="80" w:type="dxa"/>
              <w:left w:w="80" w:type="dxa"/>
              <w:bottom w:w="80" w:type="dxa"/>
              <w:right w:w="80" w:type="dxa"/>
            </w:tcMar>
            <w:vAlign w:val="center"/>
          </w:tcPr>
          <w:p w14:paraId="479EF61F" w14:textId="77777777" w:rsidR="0041110B" w:rsidRPr="0066647C" w:rsidRDefault="0041110B" w:rsidP="0041110B">
            <w:pPr>
              <w:pStyle w:val="NlTable"/>
              <w:spacing w:before="0" w:after="0"/>
              <w:jc w:val="center"/>
            </w:pPr>
            <w:r w:rsidRPr="0066647C">
              <w:t>125.7</w:t>
            </w:r>
          </w:p>
        </w:tc>
        <w:tc>
          <w:tcPr>
            <w:tcW w:w="3600" w:type="dxa"/>
            <w:tcMar>
              <w:top w:w="80" w:type="dxa"/>
              <w:left w:w="80" w:type="dxa"/>
              <w:bottom w:w="80" w:type="dxa"/>
              <w:right w:w="80" w:type="dxa"/>
            </w:tcMar>
            <w:vAlign w:val="center"/>
          </w:tcPr>
          <w:p w14:paraId="3854EF89" w14:textId="77777777" w:rsidR="0041110B" w:rsidRPr="0066647C" w:rsidRDefault="0041110B" w:rsidP="0041110B">
            <w:pPr>
              <w:pStyle w:val="NlTable"/>
              <w:spacing w:before="0" w:after="0"/>
              <w:jc w:val="center"/>
            </w:pPr>
            <w:r w:rsidRPr="0066647C">
              <w:t>7.23</w:t>
            </w:r>
          </w:p>
        </w:tc>
      </w:tr>
      <w:tr w:rsidR="0041110B" w:rsidRPr="0066647C" w14:paraId="013181A0" w14:textId="77777777" w:rsidTr="00962185">
        <w:trPr>
          <w:trHeight w:val="60"/>
          <w:tblHeader/>
        </w:trPr>
        <w:tc>
          <w:tcPr>
            <w:tcW w:w="1060" w:type="dxa"/>
            <w:tcMar>
              <w:top w:w="80" w:type="dxa"/>
              <w:left w:w="80" w:type="dxa"/>
              <w:bottom w:w="80" w:type="dxa"/>
              <w:right w:w="80" w:type="dxa"/>
            </w:tcMar>
            <w:vAlign w:val="center"/>
          </w:tcPr>
          <w:p w14:paraId="27C21965" w14:textId="77777777" w:rsidR="0041110B" w:rsidRPr="0066647C" w:rsidRDefault="0041110B" w:rsidP="0041110B">
            <w:pPr>
              <w:pStyle w:val="NlTable"/>
              <w:spacing w:before="0" w:after="0"/>
            </w:pPr>
            <w:r w:rsidRPr="0066647C">
              <w:t>2000</w:t>
            </w:r>
          </w:p>
        </w:tc>
        <w:tc>
          <w:tcPr>
            <w:tcW w:w="2150" w:type="dxa"/>
            <w:tcMar>
              <w:top w:w="80" w:type="dxa"/>
              <w:left w:w="80" w:type="dxa"/>
              <w:bottom w:w="80" w:type="dxa"/>
              <w:right w:w="80" w:type="dxa"/>
            </w:tcMar>
            <w:vAlign w:val="center"/>
          </w:tcPr>
          <w:p w14:paraId="5C54EEFD" w14:textId="77777777" w:rsidR="0041110B" w:rsidRPr="0066647C" w:rsidRDefault="0041110B" w:rsidP="0041110B">
            <w:pPr>
              <w:pStyle w:val="NlTable"/>
              <w:spacing w:before="0" w:after="0"/>
              <w:jc w:val="center"/>
            </w:pPr>
            <w:r w:rsidRPr="0066647C">
              <w:t>2.8</w:t>
            </w:r>
          </w:p>
        </w:tc>
        <w:tc>
          <w:tcPr>
            <w:tcW w:w="1620" w:type="dxa"/>
            <w:tcMar>
              <w:top w:w="80" w:type="dxa"/>
              <w:left w:w="80" w:type="dxa"/>
              <w:bottom w:w="80" w:type="dxa"/>
              <w:right w:w="80" w:type="dxa"/>
            </w:tcMar>
            <w:vAlign w:val="center"/>
          </w:tcPr>
          <w:p w14:paraId="41613BB3" w14:textId="77777777" w:rsidR="0041110B" w:rsidRPr="0066647C" w:rsidRDefault="0041110B" w:rsidP="0041110B">
            <w:pPr>
              <w:pStyle w:val="NlTable"/>
              <w:spacing w:before="0" w:after="0"/>
              <w:jc w:val="center"/>
            </w:pPr>
            <w:r w:rsidRPr="0066647C">
              <w:t>0.25</w:t>
            </w:r>
          </w:p>
        </w:tc>
        <w:tc>
          <w:tcPr>
            <w:tcW w:w="2250" w:type="dxa"/>
            <w:tcMar>
              <w:top w:w="80" w:type="dxa"/>
              <w:left w:w="80" w:type="dxa"/>
              <w:bottom w:w="80" w:type="dxa"/>
              <w:right w:w="80" w:type="dxa"/>
            </w:tcMar>
            <w:vAlign w:val="center"/>
          </w:tcPr>
          <w:p w14:paraId="4A3C090F" w14:textId="77777777" w:rsidR="0041110B" w:rsidRPr="0066647C" w:rsidRDefault="0041110B" w:rsidP="0041110B">
            <w:pPr>
              <w:pStyle w:val="NlTable"/>
              <w:spacing w:before="0" w:after="0"/>
              <w:jc w:val="center"/>
            </w:pPr>
            <w:r w:rsidRPr="0066647C">
              <w:t>134.1</w:t>
            </w:r>
          </w:p>
        </w:tc>
        <w:tc>
          <w:tcPr>
            <w:tcW w:w="3600" w:type="dxa"/>
            <w:tcMar>
              <w:top w:w="80" w:type="dxa"/>
              <w:left w:w="80" w:type="dxa"/>
              <w:bottom w:w="80" w:type="dxa"/>
              <w:right w:w="80" w:type="dxa"/>
            </w:tcMar>
            <w:vAlign w:val="center"/>
          </w:tcPr>
          <w:p w14:paraId="7C3465C7" w14:textId="77777777" w:rsidR="0041110B" w:rsidRPr="0066647C" w:rsidRDefault="0041110B" w:rsidP="0041110B">
            <w:pPr>
              <w:pStyle w:val="NlTable"/>
              <w:spacing w:before="0" w:after="0"/>
              <w:jc w:val="center"/>
            </w:pPr>
            <w:r w:rsidRPr="0066647C">
              <w:t>7.48</w:t>
            </w:r>
          </w:p>
        </w:tc>
      </w:tr>
      <w:tr w:rsidR="0041110B" w:rsidRPr="0066647C" w14:paraId="0DDCC0A0" w14:textId="77777777" w:rsidTr="00962185">
        <w:trPr>
          <w:trHeight w:val="60"/>
          <w:tblHeader/>
        </w:trPr>
        <w:tc>
          <w:tcPr>
            <w:tcW w:w="1060" w:type="dxa"/>
            <w:tcMar>
              <w:top w:w="80" w:type="dxa"/>
              <w:left w:w="80" w:type="dxa"/>
              <w:bottom w:w="80" w:type="dxa"/>
              <w:right w:w="80" w:type="dxa"/>
            </w:tcMar>
            <w:vAlign w:val="center"/>
          </w:tcPr>
          <w:p w14:paraId="63469431" w14:textId="77777777" w:rsidR="0041110B" w:rsidRPr="0066647C" w:rsidRDefault="0041110B" w:rsidP="0041110B">
            <w:pPr>
              <w:pStyle w:val="NlTable"/>
              <w:spacing w:before="0" w:after="0"/>
            </w:pPr>
            <w:r w:rsidRPr="0066647C">
              <w:t>2001</w:t>
            </w:r>
          </w:p>
        </w:tc>
        <w:tc>
          <w:tcPr>
            <w:tcW w:w="2150" w:type="dxa"/>
            <w:tcMar>
              <w:top w:w="80" w:type="dxa"/>
              <w:left w:w="80" w:type="dxa"/>
              <w:bottom w:w="80" w:type="dxa"/>
              <w:right w:w="80" w:type="dxa"/>
            </w:tcMar>
            <w:vAlign w:val="center"/>
          </w:tcPr>
          <w:p w14:paraId="25AFF711" w14:textId="77777777" w:rsidR="0041110B" w:rsidRPr="0066647C" w:rsidRDefault="0041110B" w:rsidP="0041110B">
            <w:pPr>
              <w:pStyle w:val="NlTable"/>
              <w:spacing w:before="0" w:after="0"/>
              <w:jc w:val="center"/>
            </w:pPr>
            <w:r w:rsidRPr="0066647C">
              <w:t>0.4</w:t>
            </w:r>
          </w:p>
        </w:tc>
        <w:tc>
          <w:tcPr>
            <w:tcW w:w="1620" w:type="dxa"/>
            <w:tcMar>
              <w:top w:w="80" w:type="dxa"/>
              <w:left w:w="80" w:type="dxa"/>
              <w:bottom w:w="80" w:type="dxa"/>
              <w:right w:w="80" w:type="dxa"/>
            </w:tcMar>
            <w:vAlign w:val="center"/>
          </w:tcPr>
          <w:p w14:paraId="6AA60F41" w14:textId="77777777" w:rsidR="0041110B" w:rsidRPr="0066647C" w:rsidRDefault="0041110B" w:rsidP="0041110B">
            <w:pPr>
              <w:pStyle w:val="NlTable"/>
              <w:spacing w:before="0" w:after="0"/>
              <w:jc w:val="center"/>
            </w:pPr>
            <w:r w:rsidRPr="0066647C">
              <w:t>0.12</w:t>
            </w:r>
          </w:p>
        </w:tc>
        <w:tc>
          <w:tcPr>
            <w:tcW w:w="2250" w:type="dxa"/>
            <w:tcMar>
              <w:top w:w="80" w:type="dxa"/>
              <w:left w:w="80" w:type="dxa"/>
              <w:bottom w:w="80" w:type="dxa"/>
              <w:right w:w="80" w:type="dxa"/>
            </w:tcMar>
            <w:vAlign w:val="center"/>
          </w:tcPr>
          <w:p w14:paraId="7FA426C6" w14:textId="77777777" w:rsidR="0041110B" w:rsidRPr="0066647C" w:rsidRDefault="0041110B" w:rsidP="0041110B">
            <w:pPr>
              <w:pStyle w:val="NlTable"/>
              <w:spacing w:before="0" w:after="0"/>
              <w:jc w:val="center"/>
            </w:pPr>
            <w:r w:rsidRPr="0066647C">
              <w:t>142.3</w:t>
            </w:r>
          </w:p>
        </w:tc>
        <w:tc>
          <w:tcPr>
            <w:tcW w:w="3600" w:type="dxa"/>
            <w:tcMar>
              <w:top w:w="80" w:type="dxa"/>
              <w:left w:w="80" w:type="dxa"/>
              <w:bottom w:w="80" w:type="dxa"/>
              <w:right w:w="80" w:type="dxa"/>
            </w:tcMar>
            <w:vAlign w:val="center"/>
          </w:tcPr>
          <w:p w14:paraId="577064ED" w14:textId="77777777" w:rsidR="0041110B" w:rsidRPr="0066647C" w:rsidRDefault="0041110B" w:rsidP="0041110B">
            <w:pPr>
              <w:pStyle w:val="NlTable"/>
              <w:spacing w:before="0" w:after="0"/>
              <w:jc w:val="center"/>
            </w:pPr>
            <w:r w:rsidRPr="0066647C">
              <w:t>6.13</w:t>
            </w:r>
          </w:p>
        </w:tc>
      </w:tr>
      <w:tr w:rsidR="0041110B" w:rsidRPr="0066647C" w14:paraId="448966D4" w14:textId="77777777" w:rsidTr="00962185">
        <w:trPr>
          <w:trHeight w:val="60"/>
          <w:tblHeader/>
        </w:trPr>
        <w:tc>
          <w:tcPr>
            <w:tcW w:w="1060" w:type="dxa"/>
            <w:tcMar>
              <w:top w:w="80" w:type="dxa"/>
              <w:left w:w="80" w:type="dxa"/>
              <w:bottom w:w="80" w:type="dxa"/>
              <w:right w:w="80" w:type="dxa"/>
            </w:tcMar>
            <w:vAlign w:val="center"/>
          </w:tcPr>
          <w:p w14:paraId="68D67C82" w14:textId="77777777" w:rsidR="0041110B" w:rsidRPr="0066647C" w:rsidRDefault="0041110B" w:rsidP="0041110B">
            <w:pPr>
              <w:pStyle w:val="NlTable"/>
              <w:spacing w:before="0" w:after="0"/>
            </w:pPr>
            <w:r w:rsidRPr="0066647C">
              <w:t>2002</w:t>
            </w:r>
          </w:p>
        </w:tc>
        <w:tc>
          <w:tcPr>
            <w:tcW w:w="2150" w:type="dxa"/>
            <w:tcMar>
              <w:top w:w="80" w:type="dxa"/>
              <w:left w:w="80" w:type="dxa"/>
              <w:bottom w:w="80" w:type="dxa"/>
              <w:right w:w="80" w:type="dxa"/>
            </w:tcMar>
            <w:vAlign w:val="center"/>
          </w:tcPr>
          <w:p w14:paraId="077384E3" w14:textId="77777777" w:rsidR="0041110B" w:rsidRPr="0066647C" w:rsidRDefault="0041110B" w:rsidP="0041110B">
            <w:pPr>
              <w:pStyle w:val="NlTable"/>
              <w:spacing w:before="0" w:after="0"/>
              <w:jc w:val="center"/>
            </w:pPr>
            <w:r>
              <w:t>−</w:t>
            </w:r>
            <w:r w:rsidRPr="0066647C">
              <w:t>0.3</w:t>
            </w:r>
          </w:p>
        </w:tc>
        <w:tc>
          <w:tcPr>
            <w:tcW w:w="1620" w:type="dxa"/>
            <w:tcMar>
              <w:top w:w="80" w:type="dxa"/>
              <w:left w:w="80" w:type="dxa"/>
              <w:bottom w:w="80" w:type="dxa"/>
              <w:right w:w="80" w:type="dxa"/>
            </w:tcMar>
            <w:vAlign w:val="center"/>
          </w:tcPr>
          <w:p w14:paraId="75BD9D07" w14:textId="77777777" w:rsidR="0041110B" w:rsidRPr="0066647C" w:rsidRDefault="0041110B" w:rsidP="0041110B">
            <w:pPr>
              <w:pStyle w:val="NlTable"/>
              <w:spacing w:before="0" w:after="0"/>
              <w:jc w:val="center"/>
            </w:pPr>
            <w:r w:rsidRPr="0066647C">
              <w:t>0.06</w:t>
            </w:r>
          </w:p>
        </w:tc>
        <w:tc>
          <w:tcPr>
            <w:tcW w:w="2250" w:type="dxa"/>
            <w:tcMar>
              <w:top w:w="80" w:type="dxa"/>
              <w:left w:w="80" w:type="dxa"/>
              <w:bottom w:w="80" w:type="dxa"/>
              <w:right w:w="80" w:type="dxa"/>
            </w:tcMar>
            <w:vAlign w:val="center"/>
          </w:tcPr>
          <w:p w14:paraId="063E07F6" w14:textId="77777777" w:rsidR="0041110B" w:rsidRPr="0066647C" w:rsidRDefault="0041110B" w:rsidP="0041110B">
            <w:pPr>
              <w:pStyle w:val="NlTable"/>
              <w:spacing w:before="0" w:after="0"/>
              <w:jc w:val="center"/>
            </w:pPr>
            <w:r w:rsidRPr="0066647C">
              <w:t>149.3</w:t>
            </w:r>
          </w:p>
        </w:tc>
        <w:tc>
          <w:tcPr>
            <w:tcW w:w="3600" w:type="dxa"/>
            <w:tcMar>
              <w:top w:w="80" w:type="dxa"/>
              <w:left w:w="80" w:type="dxa"/>
              <w:bottom w:w="80" w:type="dxa"/>
              <w:right w:w="80" w:type="dxa"/>
            </w:tcMar>
            <w:vAlign w:val="center"/>
          </w:tcPr>
          <w:p w14:paraId="14C429EF" w14:textId="77777777" w:rsidR="0041110B" w:rsidRPr="0066647C" w:rsidRDefault="0041110B" w:rsidP="0041110B">
            <w:pPr>
              <w:pStyle w:val="NlTable"/>
              <w:spacing w:before="0" w:after="0"/>
              <w:jc w:val="center"/>
            </w:pPr>
            <w:r w:rsidRPr="0066647C">
              <w:t>7.88</w:t>
            </w:r>
          </w:p>
        </w:tc>
      </w:tr>
      <w:tr w:rsidR="0041110B" w:rsidRPr="0066647C" w14:paraId="24679110" w14:textId="77777777" w:rsidTr="00962185">
        <w:trPr>
          <w:trHeight w:val="26"/>
          <w:tblHeader/>
        </w:trPr>
        <w:tc>
          <w:tcPr>
            <w:tcW w:w="1060" w:type="dxa"/>
            <w:tcMar>
              <w:top w:w="80" w:type="dxa"/>
              <w:left w:w="80" w:type="dxa"/>
              <w:bottom w:w="80" w:type="dxa"/>
              <w:right w:w="80" w:type="dxa"/>
            </w:tcMar>
            <w:vAlign w:val="center"/>
          </w:tcPr>
          <w:p w14:paraId="663AA4E9" w14:textId="77777777" w:rsidR="0041110B" w:rsidRPr="0066647C" w:rsidRDefault="0041110B" w:rsidP="0041110B">
            <w:pPr>
              <w:pStyle w:val="NlTable"/>
              <w:spacing w:before="0" w:after="0"/>
            </w:pPr>
            <w:r w:rsidRPr="0066647C">
              <w:t>2003</w:t>
            </w:r>
          </w:p>
        </w:tc>
        <w:tc>
          <w:tcPr>
            <w:tcW w:w="2150" w:type="dxa"/>
            <w:tcMar>
              <w:top w:w="80" w:type="dxa"/>
              <w:left w:w="80" w:type="dxa"/>
              <w:bottom w:w="80" w:type="dxa"/>
              <w:right w:w="80" w:type="dxa"/>
            </w:tcMar>
            <w:vAlign w:val="center"/>
          </w:tcPr>
          <w:p w14:paraId="72D56CF0" w14:textId="77777777" w:rsidR="0041110B" w:rsidRPr="0066647C" w:rsidRDefault="0041110B" w:rsidP="0041110B">
            <w:pPr>
              <w:pStyle w:val="NlTable"/>
              <w:spacing w:before="0" w:after="0"/>
              <w:jc w:val="center"/>
            </w:pPr>
            <w:r w:rsidRPr="0066647C">
              <w:t>2.5</w:t>
            </w:r>
          </w:p>
        </w:tc>
        <w:tc>
          <w:tcPr>
            <w:tcW w:w="1620" w:type="dxa"/>
            <w:tcMar>
              <w:top w:w="80" w:type="dxa"/>
              <w:left w:w="80" w:type="dxa"/>
              <w:bottom w:w="80" w:type="dxa"/>
              <w:right w:w="80" w:type="dxa"/>
            </w:tcMar>
            <w:vAlign w:val="center"/>
          </w:tcPr>
          <w:p w14:paraId="00C11B6B" w14:textId="77777777" w:rsidR="0041110B" w:rsidRPr="0066647C" w:rsidRDefault="0041110B" w:rsidP="0041110B">
            <w:pPr>
              <w:pStyle w:val="NlTable"/>
              <w:spacing w:before="0" w:after="0"/>
              <w:jc w:val="center"/>
            </w:pPr>
            <w:r w:rsidRPr="0066647C">
              <w:t>0.04</w:t>
            </w:r>
          </w:p>
        </w:tc>
        <w:tc>
          <w:tcPr>
            <w:tcW w:w="2250" w:type="dxa"/>
            <w:tcMar>
              <w:top w:w="80" w:type="dxa"/>
              <w:left w:w="80" w:type="dxa"/>
              <w:bottom w:w="80" w:type="dxa"/>
              <w:right w:w="80" w:type="dxa"/>
            </w:tcMar>
            <w:vAlign w:val="center"/>
          </w:tcPr>
          <w:p w14:paraId="0B457E76" w14:textId="77777777" w:rsidR="0041110B" w:rsidRPr="0066647C" w:rsidRDefault="0041110B" w:rsidP="0041110B">
            <w:pPr>
              <w:pStyle w:val="NlTable"/>
              <w:spacing w:before="0" w:after="0"/>
              <w:jc w:val="center"/>
            </w:pPr>
            <w:r w:rsidRPr="0066647C">
              <w:t>157.5</w:t>
            </w:r>
          </w:p>
        </w:tc>
        <w:tc>
          <w:tcPr>
            <w:tcW w:w="3600" w:type="dxa"/>
            <w:tcMar>
              <w:top w:w="80" w:type="dxa"/>
              <w:left w:w="80" w:type="dxa"/>
              <w:bottom w:w="80" w:type="dxa"/>
              <w:right w:w="80" w:type="dxa"/>
            </w:tcMar>
            <w:vAlign w:val="center"/>
          </w:tcPr>
          <w:p w14:paraId="04113D41" w14:textId="77777777" w:rsidR="0041110B" w:rsidRPr="0066647C" w:rsidRDefault="0041110B" w:rsidP="0041110B">
            <w:pPr>
              <w:pStyle w:val="NlTable"/>
              <w:spacing w:before="0" w:after="0"/>
              <w:jc w:val="center"/>
            </w:pPr>
            <w:r w:rsidRPr="0066647C">
              <w:t>7.67</w:t>
            </w:r>
          </w:p>
        </w:tc>
      </w:tr>
    </w:tbl>
    <w:p w14:paraId="72246F1A" w14:textId="77777777" w:rsidR="00962185" w:rsidRDefault="00962185" w:rsidP="0041110B">
      <w:pPr>
        <w:pStyle w:val="Heading4"/>
        <w:spacing w:before="0"/>
        <w:rPr>
          <w:rFonts w:ascii="Times New Roman" w:hAnsi="Times New Roman" w:cs="Times New Roman"/>
          <w:b/>
          <w:bCs/>
          <w:i w:val="0"/>
          <w:iCs w:val="0"/>
          <w:color w:val="auto"/>
        </w:rPr>
      </w:pPr>
    </w:p>
    <w:sectPr w:rsidR="00962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87"/>
    <w:rsid w:val="000C53B5"/>
    <w:rsid w:val="003F51BD"/>
    <w:rsid w:val="00407508"/>
    <w:rsid w:val="0041110B"/>
    <w:rsid w:val="004D2787"/>
    <w:rsid w:val="005949F4"/>
    <w:rsid w:val="006F7DFA"/>
    <w:rsid w:val="00940056"/>
    <w:rsid w:val="00962185"/>
    <w:rsid w:val="00A55479"/>
    <w:rsid w:val="00CE5662"/>
    <w:rsid w:val="00D52F1D"/>
    <w:rsid w:val="00F83F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0C387"/>
  <w15:chartTrackingRefBased/>
  <w15:docId w15:val="{E1CFCECC-2EA3-4FFD-8A5B-747C77BA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87"/>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4D2787"/>
    <w:pPr>
      <w:keepNext/>
      <w:spacing w:before="100" w:beforeAutospacing="1" w:after="100" w:afterAutospacing="1" w:line="480" w:lineRule="auto"/>
      <w:outlineLvl w:val="1"/>
    </w:pPr>
    <w:rPr>
      <w:b/>
      <w:iCs/>
      <w:color w:val="000000" w:themeColor="text1"/>
    </w:rPr>
  </w:style>
  <w:style w:type="paragraph" w:styleId="Heading3">
    <w:name w:val="heading 3"/>
    <w:basedOn w:val="Normal"/>
    <w:next w:val="Normal"/>
    <w:link w:val="Heading3Char"/>
    <w:uiPriority w:val="9"/>
    <w:semiHidden/>
    <w:unhideWhenUsed/>
    <w:qFormat/>
    <w:rsid w:val="0041110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111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2787"/>
    <w:rPr>
      <w:rFonts w:ascii="Times New Roman" w:eastAsia="Times New Roman" w:hAnsi="Times New Roman" w:cs="Times New Roman"/>
      <w:b/>
      <w:iCs/>
      <w:color w:val="000000" w:themeColor="text1"/>
      <w:sz w:val="24"/>
      <w:szCs w:val="24"/>
    </w:rPr>
  </w:style>
  <w:style w:type="paragraph" w:customStyle="1" w:styleId="noindent">
    <w:name w:val="noindent"/>
    <w:link w:val="noindentChar"/>
    <w:rsid w:val="004D2787"/>
    <w:pPr>
      <w:spacing w:before="100" w:beforeAutospacing="1" w:after="100" w:afterAutospacing="1" w:line="240" w:lineRule="atLeast"/>
    </w:pPr>
    <w:rPr>
      <w:rFonts w:ascii="Times New Roman" w:eastAsia="Times New Roman" w:hAnsi="Times New Roman" w:cs="Times New Roman"/>
      <w:sz w:val="24"/>
      <w:szCs w:val="24"/>
    </w:rPr>
  </w:style>
  <w:style w:type="character" w:customStyle="1" w:styleId="noindentChar">
    <w:name w:val="noindent Char"/>
    <w:link w:val="noindent"/>
    <w:rsid w:val="004D278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1110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1110B"/>
    <w:rPr>
      <w:rFonts w:asciiTheme="majorHAnsi" w:eastAsiaTheme="majorEastAsia" w:hAnsiTheme="majorHAnsi" w:cstheme="majorBidi"/>
      <w:i/>
      <w:iCs/>
      <w:color w:val="2F5496" w:themeColor="accent1" w:themeShade="BF"/>
      <w:sz w:val="24"/>
      <w:szCs w:val="24"/>
    </w:rPr>
  </w:style>
  <w:style w:type="paragraph" w:customStyle="1" w:styleId="NlTable">
    <w:name w:val="NlTable"/>
    <w:basedOn w:val="Normal"/>
    <w:rsid w:val="0041110B"/>
    <w:pPr>
      <w:spacing w:before="48" w:after="48"/>
      <w:ind w:left="144"/>
    </w:pPr>
  </w:style>
  <w:style w:type="table" w:styleId="TableGrid">
    <w:name w:val="Table Grid"/>
    <w:basedOn w:val="TableNormal"/>
    <w:uiPriority w:val="39"/>
    <w:rsid w:val="00411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
    <w:name w:val="NL"/>
    <w:qFormat/>
    <w:rsid w:val="00962185"/>
    <w:pPr>
      <w:tabs>
        <w:tab w:val="left" w:pos="1080"/>
      </w:tabs>
      <w:spacing w:after="0" w:line="240" w:lineRule="auto"/>
      <w:ind w:left="1080" w:hanging="540"/>
      <w:jc w:val="both"/>
    </w:pPr>
    <w:rPr>
      <w:rFonts w:ascii="Times New Roman" w:eastAsia="Malgun Gothic" w:hAnsi="Times New Roman" w:cs="Times New Roman"/>
      <w:color w:val="000000"/>
      <w:sz w:val="24"/>
      <w:szCs w:val="24"/>
    </w:rPr>
  </w:style>
  <w:style w:type="paragraph" w:styleId="Title">
    <w:name w:val="Title"/>
    <w:basedOn w:val="Normal"/>
    <w:next w:val="Normal"/>
    <w:link w:val="TitleChar"/>
    <w:uiPriority w:val="10"/>
    <w:qFormat/>
    <w:rsid w:val="00A5547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55479"/>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McCornac</dc:creator>
  <cp:keywords/>
  <dc:description/>
  <cp:lastModifiedBy>Dennis Charles McCornac</cp:lastModifiedBy>
  <cp:revision>2</cp:revision>
  <dcterms:created xsi:type="dcterms:W3CDTF">2026-03-06T07:16:00Z</dcterms:created>
  <dcterms:modified xsi:type="dcterms:W3CDTF">2026-03-06T07:16:00Z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d4a0422ae3eeca186dc51dcdd9a1bea854f1cb636f02a4f59c9752902b64f51f</vt:lpwstr>
  </property>
</Properties>
</file>